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4595F" w14:textId="6FBAD4D3" w:rsidR="00D27EA9" w:rsidRPr="003F426E" w:rsidRDefault="00D27EA9" w:rsidP="00D27EA9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</w:t>
      </w:r>
      <w:r>
        <w:rPr>
          <w:b/>
          <w:noProof/>
          <w:sz w:val="24"/>
        </w:rPr>
        <w:t>4</w:t>
      </w:r>
      <w:r w:rsidRPr="003F426E">
        <w:rPr>
          <w:b/>
          <w:noProof/>
          <w:sz w:val="24"/>
        </w:rPr>
        <w:t>-e</w:t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868C2" w:rsidRPr="00D868C2">
        <w:rPr>
          <w:b/>
          <w:noProof/>
          <w:sz w:val="24"/>
        </w:rPr>
        <w:t>R1-2101515</w:t>
      </w:r>
    </w:p>
    <w:p w14:paraId="27857205" w14:textId="77777777" w:rsidR="00D27EA9" w:rsidRDefault="00D27EA9" w:rsidP="00D27EA9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January</w:t>
      </w:r>
      <w:r w:rsidRPr="003F42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256B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3F426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February 5</w:t>
      </w:r>
      <w:r w:rsidRPr="00256BFC">
        <w:rPr>
          <w:b/>
          <w:noProof/>
          <w:sz w:val="24"/>
          <w:vertAlign w:val="superscript"/>
        </w:rPr>
        <w:t>th</w:t>
      </w:r>
      <w:r w:rsidRPr="003F426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1629D478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2C0325">
        <w:rPr>
          <w:rFonts w:ascii="Arial" w:hAnsi="Arial"/>
          <w:sz w:val="24"/>
        </w:rPr>
        <w:t>4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796F6D1D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D27EA9" w:rsidRPr="00D27EA9">
        <w:rPr>
          <w:rFonts w:ascii="Arial" w:hAnsi="Arial"/>
          <w:sz w:val="24"/>
        </w:rPr>
        <w:t>Enhancements on HARQ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51E44305" w14:textId="4ACDCC35" w:rsidR="00874392" w:rsidRDefault="00874392" w:rsidP="000369C3">
      <w:pPr>
        <w:rPr>
          <w:lang w:val="en-US"/>
        </w:rPr>
      </w:pPr>
      <w:r w:rsidRPr="00F752F5">
        <w:rPr>
          <w:lang w:val="en-US"/>
        </w:rPr>
        <w:t xml:space="preserve">A new </w:t>
      </w:r>
      <w:r w:rsidR="00AD2460">
        <w:rPr>
          <w:lang w:val="en-US"/>
        </w:rPr>
        <w:t>study</w:t>
      </w:r>
      <w:r w:rsidRPr="00F752F5">
        <w:rPr>
          <w:lang w:val="en-US"/>
        </w:rPr>
        <w:t xml:space="preserve"> item on </w:t>
      </w:r>
      <w:r w:rsidR="001369AD">
        <w:rPr>
          <w:lang w:val="en-US"/>
        </w:rPr>
        <w:t xml:space="preserve">supporting NB-IoT and eMTC over </w:t>
      </w:r>
      <w:r w:rsidR="000369C3">
        <w:rPr>
          <w:lang w:val="en-US"/>
        </w:rPr>
        <w:t>Non-Terrestrial</w:t>
      </w:r>
      <w:r w:rsidR="001369AD">
        <w:rPr>
          <w:lang w:val="en-US"/>
        </w:rPr>
        <w:t xml:space="preserve"> Networks (NTNs) </w:t>
      </w:r>
      <w:r w:rsidR="000369C3">
        <w:rPr>
          <w:lang w:val="en-US"/>
        </w:rPr>
        <w:t>is outlined in</w:t>
      </w:r>
      <w:r w:rsidRPr="00F752F5">
        <w:rPr>
          <w:lang w:val="en-US"/>
        </w:rPr>
        <w:t xml:space="preserve"> [1]. </w:t>
      </w:r>
    </w:p>
    <w:p w14:paraId="541FED59" w14:textId="77777777" w:rsidR="000369C3" w:rsidRPr="000C1B5A" w:rsidRDefault="000369C3" w:rsidP="000369C3">
      <w:r w:rsidRPr="000C1B5A">
        <w:t>The first objective of this Study is to identify scenarios applicable to NB-IoT/eMTC [RAN1, RAN2], including:</w:t>
      </w:r>
    </w:p>
    <w:p w14:paraId="67E15AA1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Bands of interest in sub 6 GHz</w:t>
      </w:r>
    </w:p>
    <w:p w14:paraId="4B5EB08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Device type with PC3 or PC5 (LEO and GEO) </w:t>
      </w:r>
    </w:p>
    <w:p w14:paraId="0AA6DCF3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3E7708B4" w14:textId="77777777" w:rsidR="000369C3" w:rsidRDefault="000369C3" w:rsidP="000369C3">
      <w:pPr>
        <w:pStyle w:val="B1"/>
      </w:pPr>
      <w:r w:rsidRPr="000C1B5A">
        <w:t>-</w:t>
      </w:r>
      <w:r w:rsidRPr="000C1B5A">
        <w:tab/>
        <w:t>Transparent payload.</w:t>
      </w:r>
    </w:p>
    <w:p w14:paraId="7795C498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Link budget</w:t>
      </w:r>
    </w:p>
    <w:p w14:paraId="47A3E7F1" w14:textId="77777777" w:rsidR="000369C3" w:rsidRPr="000C1B5A" w:rsidRDefault="000369C3" w:rsidP="000369C3">
      <w:pPr>
        <w:pStyle w:val="NO"/>
      </w:pPr>
      <w:r w:rsidRPr="000C1B5A">
        <w:t>NOTE 1: This first objective will be based on the scenarios documented in TR 38.821.</w:t>
      </w:r>
    </w:p>
    <w:p w14:paraId="37967A08" w14:textId="3AFB8371" w:rsidR="000369C3" w:rsidRPr="000C1B5A" w:rsidRDefault="000369C3" w:rsidP="000369C3">
      <w:pPr>
        <w:pStyle w:val="NO"/>
      </w:pPr>
      <w:r w:rsidRPr="000C1B5A">
        <w:t>NOTE 2: UE mobility assumptions follow terrestrial NB-IoT/eMTC assumptions.</w:t>
      </w:r>
    </w:p>
    <w:p w14:paraId="22D459E1" w14:textId="77777777" w:rsidR="000369C3" w:rsidRPr="000C1B5A" w:rsidRDefault="000369C3" w:rsidP="000369C3">
      <w:r w:rsidRPr="000C1B5A">
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</w:r>
    </w:p>
    <w:p w14:paraId="4788BF7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642610F2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>
        <w:t xml:space="preserve">quency compensation indication </w:t>
      </w:r>
      <w:r w:rsidRPr="000C1B5A">
        <w:t>[RAN1, RAN2]</w:t>
      </w:r>
    </w:p>
    <w:p w14:paraId="2364F02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Timing offset related to scheduling and HARQ-ACK feedback [RAN1, RAN2]</w:t>
      </w:r>
    </w:p>
    <w:p w14:paraId="725DD2A5" w14:textId="77777777" w:rsidR="000369C3" w:rsidRPr="000C1B5A" w:rsidRDefault="000369C3" w:rsidP="000369C3">
      <w:pPr>
        <w:pStyle w:val="B1"/>
      </w:pPr>
      <w:r w:rsidRPr="000C1B5A">
        <w:t xml:space="preserve">-    </w:t>
      </w:r>
      <w:r w:rsidRPr="00794BA6">
        <w:rPr>
          <w:highlight w:val="yellow"/>
        </w:rPr>
        <w:t>Aspects related to HARQ operation [RAN2, RAN1]</w:t>
      </w:r>
    </w:p>
    <w:p w14:paraId="1466F2EA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4C81AEEF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RAN2 aspects related to idle mode and connected mode mobility [RAN2]</w:t>
      </w:r>
    </w:p>
    <w:p w14:paraId="2620DBF2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RLF-based for NB-IoT</w:t>
      </w:r>
    </w:p>
    <w:p w14:paraId="55A29394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Handover-based for eMTC</w:t>
      </w:r>
    </w:p>
    <w:p w14:paraId="5904653D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18ACB22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43B1F3E" w14:textId="77777777" w:rsidR="000369C3" w:rsidRPr="000C1B5A" w:rsidRDefault="000369C3" w:rsidP="000369C3"/>
    <w:p w14:paraId="335B7065" w14:textId="06766EC3" w:rsidR="00874392" w:rsidRPr="009B5D79" w:rsidRDefault="000369C3" w:rsidP="009B5D79">
      <w:pPr>
        <w:pStyle w:val="NO"/>
      </w:pPr>
      <w:r w:rsidRPr="000C1B5A">
        <w:lastRenderedPageBreak/>
        <w:t xml:space="preserve">NOTE 3: </w:t>
      </w:r>
      <w:r w:rsidRPr="000C1B5A">
        <w:tab/>
        <w:t>GNSS capability in the UE is taken as a working assumption in this study for both NB-IoT and eMTC devices. With this assumption, UE can estimate and pre-compensate timing and frequency offset with sufficient accuracy for UL transmission. Simultaneous GNSS and NTN NB-IoT/eMTC operation is not assumed.</w:t>
      </w:r>
    </w:p>
    <w:p w14:paraId="64AF9A4B" w14:textId="35BC3137" w:rsidR="00874392" w:rsidRPr="009B5D79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initial views on </w:t>
      </w:r>
      <w:r w:rsidR="00045BDF">
        <w:t>necessary enhancements</w:t>
      </w:r>
      <w:r w:rsidR="001B1620">
        <w:t xml:space="preserve"> to NB-IoT/eMTC over NTN</w:t>
      </w:r>
      <w:r w:rsidR="00794BA6">
        <w:t xml:space="preserve"> for aspects related </w:t>
      </w:r>
      <w:r w:rsidR="0018530B">
        <w:t>HARQ operation</w:t>
      </w:r>
      <w:r>
        <w:rPr>
          <w:lang w:val="en-US"/>
        </w:rPr>
        <w:t>.</w:t>
      </w:r>
    </w:p>
    <w:p w14:paraId="6E313770" w14:textId="1567987D" w:rsidR="00647D8A" w:rsidRPr="003C32A1" w:rsidRDefault="0018530B" w:rsidP="003B31FD">
      <w:pPr>
        <w:pStyle w:val="Heading1"/>
        <w:numPr>
          <w:ilvl w:val="0"/>
          <w:numId w:val="1"/>
        </w:numPr>
        <w:tabs>
          <w:tab w:val="clear" w:pos="1140"/>
        </w:tabs>
        <w:jc w:val="both"/>
        <w:rPr>
          <w:b/>
          <w:bCs/>
          <w:lang w:val="en-US"/>
        </w:rPr>
      </w:pPr>
      <w:r>
        <w:t>M</w:t>
      </w:r>
      <w:r w:rsidR="00245257">
        <w:t>aintaining throughput</w:t>
      </w:r>
    </w:p>
    <w:p w14:paraId="4EFEAB01" w14:textId="0EC35F1E" w:rsidR="00F03D87" w:rsidRDefault="00BD52C2" w:rsidP="00BD52C2">
      <w:pPr>
        <w:rPr>
          <w:lang w:val="en-US"/>
        </w:rPr>
      </w:pPr>
      <w:r w:rsidRPr="00BD52C2">
        <w:rPr>
          <w:lang w:val="en-US"/>
        </w:rPr>
        <w:t>In an NTN, a UE may have to wait for a considerable period after receiving a DL transmission before it transmits the corresponding UL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>This is especially true for “near UEs” if the “scheduling offsets” (K_offset) are cell-specific, and hence, cater to UEs with the worst round-trip time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 xml:space="preserve">According to current specifications, in many such would-be “waiting periods”, the UE is “not required to monitor NPDCCH” (see </w:t>
      </w:r>
      <w:r w:rsidR="00C30A2F">
        <w:rPr>
          <w:lang w:val="en-US"/>
        </w:rPr>
        <w:t xml:space="preserve">Fig. </w:t>
      </w:r>
      <w:r w:rsidR="006B6A0D">
        <w:rPr>
          <w:lang w:val="en-US"/>
        </w:rPr>
        <w:t>1</w:t>
      </w:r>
      <w:r w:rsidRPr="00BD52C2">
        <w:rPr>
          <w:lang w:val="en-US"/>
        </w:rPr>
        <w:t>)</w:t>
      </w:r>
      <w:r w:rsidR="00C30A2F">
        <w:rPr>
          <w:lang w:val="en-US"/>
        </w:rPr>
        <w:t xml:space="preserve">. </w:t>
      </w:r>
      <w:r w:rsidR="00EC2CE5">
        <w:rPr>
          <w:lang w:val="en-US"/>
        </w:rPr>
        <w:t>An e</w:t>
      </w:r>
      <w:r w:rsidRPr="00BD52C2">
        <w:rPr>
          <w:lang w:val="en-US"/>
        </w:rPr>
        <w:t>xample</w:t>
      </w:r>
      <w:r w:rsidR="00EC2CE5">
        <w:rPr>
          <w:lang w:val="en-US"/>
        </w:rPr>
        <w:t xml:space="preserve"> shown in the figure is the t</w:t>
      </w:r>
      <w:r w:rsidRPr="00BD52C2">
        <w:rPr>
          <w:lang w:val="en-US"/>
        </w:rPr>
        <w:t>ime period between receiving an NPDSCH and transmitting the corresponding HARQ ACK</w:t>
      </w:r>
      <w:r w:rsidR="00EC2CE5">
        <w:rPr>
          <w:lang w:val="en-US"/>
        </w:rPr>
        <w:t>.</w:t>
      </w:r>
    </w:p>
    <w:p w14:paraId="46DA758F" w14:textId="77777777" w:rsidR="0054719B" w:rsidRDefault="0054719B" w:rsidP="0054719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FB5F921" wp14:editId="757B01DB">
            <wp:extent cx="4072310" cy="2356305"/>
            <wp:effectExtent l="0" t="0" r="4445" b="0"/>
            <wp:docPr id="27" name="Picture 27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THroughput_curren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406" cy="235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C727D" w14:textId="26958F04" w:rsidR="00EC2CE5" w:rsidRDefault="0054719B" w:rsidP="0054719B">
      <w:pPr>
        <w:pStyle w:val="Caption"/>
        <w:jc w:val="center"/>
        <w:rPr>
          <w:noProof/>
        </w:rPr>
      </w:pPr>
      <w:r>
        <w:t xml:space="preserve">Figure </w:t>
      </w:r>
      <w:r w:rsidR="001B142E">
        <w:t>1</w:t>
      </w:r>
      <w:r>
        <w:t>: Illustration of current UE behavior</w:t>
      </w:r>
      <w:r>
        <w:rPr>
          <w:noProof/>
        </w:rPr>
        <w:t xml:space="preserve"> between receiving NPDSCH and transmitting HARQ ACK.</w:t>
      </w:r>
    </w:p>
    <w:p w14:paraId="2B0D9AE9" w14:textId="3C6C83D6" w:rsidR="00FD4AD2" w:rsidRDefault="00144F61" w:rsidP="00FD4AD2">
      <w:pPr>
        <w:rPr>
          <w:lang w:val="en-US"/>
        </w:rPr>
      </w:pPr>
      <w:r>
        <w:rPr>
          <w:lang w:val="en-US"/>
        </w:rPr>
        <w:t xml:space="preserve">To mitigate this loss in throughput, </w:t>
      </w:r>
      <w:r w:rsidR="00355044">
        <w:rPr>
          <w:lang w:val="en-US"/>
        </w:rPr>
        <w:t>we can enable PDCCH monitoring for at least a subset of the “waiting period” shown above</w:t>
      </w:r>
      <w:r w:rsidR="00712BC8">
        <w:rPr>
          <w:lang w:val="en-US"/>
        </w:rPr>
        <w:t xml:space="preserve"> (shown in Fig. </w:t>
      </w:r>
      <w:r w:rsidR="006B6A0D">
        <w:rPr>
          <w:lang w:val="en-US"/>
        </w:rPr>
        <w:t>2</w:t>
      </w:r>
      <w:r w:rsidR="00712BC8">
        <w:rPr>
          <w:lang w:val="en-US"/>
        </w:rPr>
        <w:t>)</w:t>
      </w:r>
      <w:r w:rsidR="00355044">
        <w:rPr>
          <w:lang w:val="en-US"/>
        </w:rPr>
        <w:t>.</w:t>
      </w:r>
    </w:p>
    <w:p w14:paraId="0834999F" w14:textId="77777777" w:rsidR="00712BC8" w:rsidRDefault="00712BC8" w:rsidP="00712BC8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A0521CB" wp14:editId="3B0062CA">
            <wp:extent cx="4442829" cy="2567391"/>
            <wp:effectExtent l="0" t="0" r="0" b="0"/>
            <wp:docPr id="28" name="Picture 28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Hroughput_proposed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564" cy="257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419E5" w14:textId="1EDB834F" w:rsidR="00712BC8" w:rsidRDefault="00712BC8" w:rsidP="00712BC8">
      <w:pPr>
        <w:pStyle w:val="Caption"/>
        <w:jc w:val="center"/>
      </w:pPr>
      <w:r>
        <w:t>Figure</w:t>
      </w:r>
      <w:r w:rsidR="001B142E">
        <w:t xml:space="preserve"> 2</w:t>
      </w:r>
      <w:r>
        <w:t xml:space="preserve">: </w:t>
      </w:r>
      <w:r w:rsidRPr="004234AE">
        <w:t xml:space="preserve">Illustration of </w:t>
      </w:r>
      <w:r>
        <w:t>proposed</w:t>
      </w:r>
      <w:r w:rsidRPr="004234AE">
        <w:t xml:space="preserve"> UE behavior between receiving NPDSCH and transmitting HARQ ACK</w:t>
      </w:r>
      <w:r>
        <w:t>, to increase overall throughput</w:t>
      </w:r>
      <w:r w:rsidRPr="004234AE">
        <w:t>.</w:t>
      </w:r>
    </w:p>
    <w:p w14:paraId="6450CAB9" w14:textId="7833947A" w:rsidR="00712BC8" w:rsidRPr="00F92013" w:rsidRDefault="001536B5" w:rsidP="00712BC8">
      <w:pPr>
        <w:rPr>
          <w:b/>
          <w:bCs/>
          <w:lang w:val="en-US"/>
        </w:rPr>
      </w:pPr>
      <w:r w:rsidRPr="00F92013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1</w:t>
      </w:r>
      <w:r w:rsidRPr="00F92013">
        <w:rPr>
          <w:b/>
          <w:bCs/>
          <w:lang w:val="en-US"/>
        </w:rPr>
        <w:t xml:space="preserve">: RAN1 to study enabling PDCCH monitoring in “waiting periods”—for example, </w:t>
      </w:r>
      <w:r w:rsidR="00F92013" w:rsidRPr="00F92013">
        <w:rPr>
          <w:b/>
          <w:bCs/>
          <w:lang w:val="en-US"/>
        </w:rPr>
        <w:t>between receiving NPDSCH and transmitting HARQ ACK in NB-IoT—to mitigate suboptimal throughput.</w:t>
      </w:r>
    </w:p>
    <w:p w14:paraId="5D121D92" w14:textId="25266254" w:rsidR="004C615B" w:rsidRDefault="00C5395E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 xml:space="preserve">HARQ ACK </w:t>
      </w:r>
      <w:r w:rsidR="004C07B6">
        <w:t>feedback disabled</w:t>
      </w:r>
      <w:r>
        <w:t xml:space="preserve"> HARQ process(es)</w:t>
      </w:r>
    </w:p>
    <w:p w14:paraId="0284A0FB" w14:textId="00F82BDC" w:rsidR="00C5395E" w:rsidRDefault="00B041D2" w:rsidP="00C5395E">
      <w:r>
        <w:t xml:space="preserve">As described in the previous section, there may be </w:t>
      </w:r>
      <w:r w:rsidR="00EA3154">
        <w:t>time periods</w:t>
      </w:r>
      <w:r w:rsidR="008323AE">
        <w:t xml:space="preserve"> wh</w:t>
      </w:r>
      <w:r w:rsidR="00221A19">
        <w:t>ich</w:t>
      </w:r>
      <w:r w:rsidR="008323AE">
        <w:t>, according to current specifications,</w:t>
      </w:r>
      <w:r w:rsidR="00221A19">
        <w:t xml:space="preserve"> </w:t>
      </w:r>
      <w:r w:rsidR="00474485">
        <w:t>be un-utilized, lead</w:t>
      </w:r>
      <w:r w:rsidR="00C13CAF">
        <w:t>ing</w:t>
      </w:r>
      <w:r w:rsidR="00474485">
        <w:t xml:space="preserve"> to suboptimal </w:t>
      </w:r>
      <w:r w:rsidR="00C13CAF">
        <w:t xml:space="preserve">system </w:t>
      </w:r>
      <w:r w:rsidR="00474485">
        <w:t xml:space="preserve">throughput. </w:t>
      </w:r>
      <w:r w:rsidR="0022593C">
        <w:t xml:space="preserve">Note that, for HARQ processes with HARQ ACK feedback enabled, </w:t>
      </w:r>
      <w:r w:rsidR="00B879E3">
        <w:t xml:space="preserve">it isn’t possible to “pipeline” transmissions for a given process before </w:t>
      </w:r>
      <w:r w:rsidR="002477FC">
        <w:t>the passage of one round-trip time (RTT)</w:t>
      </w:r>
      <w:r w:rsidR="008E28E8">
        <w:t xml:space="preserve">. </w:t>
      </w:r>
      <w:r w:rsidR="008929CF">
        <w:t>For GEO-based NTNs,</w:t>
      </w:r>
      <w:r w:rsidR="005770E3">
        <w:t xml:space="preserve"> these RTTs can be very large. </w:t>
      </w:r>
      <w:r w:rsidR="00F211D9">
        <w:t>And for certain NB-IoT UEs, there is only one HARQ process</w:t>
      </w:r>
      <w:r w:rsidR="00EB1495">
        <w:t xml:space="preserve"> that can currently be configured: for these UEs,</w:t>
      </w:r>
      <w:r w:rsidR="004B58E3">
        <w:t xml:space="preserve"> without enhancements,</w:t>
      </w:r>
      <w:r w:rsidR="00EB1495">
        <w:t xml:space="preserve"> there is</w:t>
      </w:r>
      <w:r w:rsidR="004B58E3">
        <w:t xml:space="preserve"> no way utilize potential </w:t>
      </w:r>
      <w:r w:rsidR="00E0214A">
        <w:t>un-utilized time periods during communication</w:t>
      </w:r>
      <w:r w:rsidR="004B58E3">
        <w:t>.</w:t>
      </w:r>
      <w:r w:rsidR="00E0214A">
        <w:t xml:space="preserve"> </w:t>
      </w:r>
      <w:r w:rsidR="005770E3">
        <w:t xml:space="preserve">As a result, </w:t>
      </w:r>
      <w:r w:rsidR="00E0214A">
        <w:t>to mitigate the impact of</w:t>
      </w:r>
      <w:r w:rsidR="005770E3">
        <w:t xml:space="preserve"> </w:t>
      </w:r>
      <w:r w:rsidR="00820B78">
        <w:t xml:space="preserve">such </w:t>
      </w:r>
      <w:r w:rsidR="005770E3">
        <w:t>un-utilized time periods</w:t>
      </w:r>
      <w:r w:rsidR="00D063F3">
        <w:t xml:space="preserve"> (e.g., on account of waiting periods</w:t>
      </w:r>
      <w:r w:rsidR="006F3242">
        <w:t>,</w:t>
      </w:r>
      <w:r w:rsidR="00D063F3">
        <w:t xml:space="preserve"> based on </w:t>
      </w:r>
      <w:r w:rsidR="006F3242">
        <w:t xml:space="preserve">the </w:t>
      </w:r>
      <w:r w:rsidR="00D063F3">
        <w:t xml:space="preserve">current specs extrapolated to NTN), </w:t>
      </w:r>
      <w:r w:rsidR="003E1B52">
        <w:t xml:space="preserve">we propose to study </w:t>
      </w:r>
      <w:r w:rsidR="007157E0">
        <w:t>supporting</w:t>
      </w:r>
      <w:r w:rsidR="00D063F3">
        <w:t xml:space="preserve"> </w:t>
      </w:r>
      <w:r w:rsidR="003E1B52">
        <w:t>at least a</w:t>
      </w:r>
      <w:r w:rsidR="00F211D9">
        <w:t xml:space="preserve"> single feedback-less HARQ process</w:t>
      </w:r>
      <w:r w:rsidR="007157E0">
        <w:t>, that can enable pipelined transmissions</w:t>
      </w:r>
      <w:r w:rsidR="00F211D9">
        <w:t>.</w:t>
      </w:r>
    </w:p>
    <w:p w14:paraId="5B7DD1C8" w14:textId="74B0450F" w:rsidR="001E3331" w:rsidRPr="001E3331" w:rsidRDefault="001E3331" w:rsidP="00C5395E">
      <w:pPr>
        <w:rPr>
          <w:b/>
          <w:bCs/>
        </w:rPr>
      </w:pPr>
      <w:r w:rsidRPr="001E3331">
        <w:rPr>
          <w:b/>
          <w:bCs/>
          <w:i/>
          <w:iCs/>
          <w:u w:val="single"/>
        </w:rPr>
        <w:t>Proposal 2</w:t>
      </w:r>
      <w:r w:rsidRPr="001E3331">
        <w:rPr>
          <w:b/>
          <w:bCs/>
        </w:rPr>
        <w:t xml:space="preserve">: RAN1 to study support for at least one feedback-disabled HARQ process for NB-IoT over NTN. </w:t>
      </w:r>
    </w:p>
    <w:p w14:paraId="72FCCC8A" w14:textId="10C7D3B9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241583F4" w:rsidR="009D5294" w:rsidRDefault="000236C6" w:rsidP="006C1D96">
      <w:r w:rsidRPr="000236C6">
        <w:t xml:space="preserve">In this contribution we presented our initial views on </w:t>
      </w:r>
      <w:r w:rsidR="00FD4AD2">
        <w:t>enhancements for</w:t>
      </w:r>
      <w:r w:rsidR="001B1620">
        <w:t xml:space="preserve"> NB-IoT/eMTC over NTN</w:t>
      </w:r>
      <w:r w:rsidR="003C32A1" w:rsidRPr="003C32A1">
        <w:t xml:space="preserve"> </w:t>
      </w:r>
      <w:r w:rsidR="003C32A1">
        <w:t>for aspects related HARQ operation</w:t>
      </w:r>
      <w:r w:rsidRPr="000236C6">
        <w:t xml:space="preserve">. </w:t>
      </w:r>
      <w:r w:rsidR="00BC3A60">
        <w:t>We summarize our proposals below.</w:t>
      </w:r>
    </w:p>
    <w:p w14:paraId="1EF4AB93" w14:textId="14D26A05" w:rsidR="001B1620" w:rsidRDefault="004C5F77" w:rsidP="006C1D96">
      <w:pPr>
        <w:rPr>
          <w:b/>
          <w:bCs/>
          <w:lang w:val="en-US"/>
        </w:rPr>
      </w:pPr>
      <w:r w:rsidRPr="00F92013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1</w:t>
      </w:r>
      <w:r w:rsidRPr="00F92013">
        <w:rPr>
          <w:b/>
          <w:bCs/>
          <w:lang w:val="en-US"/>
        </w:rPr>
        <w:t>: RAN1 to study enabling PDCCH monitoring in “waiting periods”—for example, between receiving NPDSCH and transmitting HARQ ACK in NB-IoT—to mitigate suboptimal throughput.</w:t>
      </w:r>
    </w:p>
    <w:p w14:paraId="673A1044" w14:textId="11EF35D6" w:rsidR="006F3242" w:rsidRPr="006F3242" w:rsidRDefault="006F3242" w:rsidP="006C1D96">
      <w:pPr>
        <w:rPr>
          <w:b/>
          <w:bCs/>
        </w:rPr>
      </w:pPr>
      <w:r w:rsidRPr="001E3331">
        <w:rPr>
          <w:b/>
          <w:bCs/>
          <w:i/>
          <w:iCs/>
          <w:u w:val="single"/>
        </w:rPr>
        <w:t>Proposal 2</w:t>
      </w:r>
      <w:r w:rsidRPr="001E3331">
        <w:rPr>
          <w:b/>
          <w:bCs/>
        </w:rPr>
        <w:t>: RAN1 to study support for at least one feedback-disabled HARQ process for NB-IoT over NTN.</w:t>
      </w:r>
      <w:bookmarkStart w:id="2" w:name="_GoBack"/>
      <w:bookmarkEnd w:id="2"/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0CB324D" w14:textId="3AAE1EFF" w:rsidR="006C1D96" w:rsidRPr="00111EB7" w:rsidRDefault="00874392" w:rsidP="001B159B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/eMTC support for Non-Terrestrial Network</w:t>
      </w:r>
    </w:p>
    <w:sectPr w:rsidR="006C1D96" w:rsidRPr="00111EB7" w:rsidSect="00717CC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D4DEF" w16cex:dateUtc="2020-10-23T19:41:00Z"/>
  <w16cex:commentExtensible w16cex:durableId="233D4E3A" w16cex:dateUtc="2020-10-23T19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99FF1" w14:textId="77777777" w:rsidR="00A544C8" w:rsidRDefault="00A544C8">
      <w:pPr>
        <w:spacing w:after="0"/>
      </w:pPr>
      <w:r>
        <w:separator/>
      </w:r>
    </w:p>
  </w:endnote>
  <w:endnote w:type="continuationSeparator" w:id="0">
    <w:p w14:paraId="1FF72F35" w14:textId="77777777" w:rsidR="00A544C8" w:rsidRDefault="00A544C8">
      <w:pPr>
        <w:spacing w:after="0"/>
      </w:pPr>
      <w:r>
        <w:continuationSeparator/>
      </w:r>
    </w:p>
  </w:endnote>
  <w:endnote w:type="continuationNotice" w:id="1">
    <w:p w14:paraId="2AE9A58C" w14:textId="77777777" w:rsidR="00A544C8" w:rsidRDefault="00A54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5B5D" w14:textId="77777777" w:rsidR="00A544C8" w:rsidRDefault="00A544C8">
      <w:pPr>
        <w:spacing w:after="0"/>
      </w:pPr>
      <w:r>
        <w:separator/>
      </w:r>
    </w:p>
  </w:footnote>
  <w:footnote w:type="continuationSeparator" w:id="0">
    <w:p w14:paraId="0ED80053" w14:textId="77777777" w:rsidR="00A544C8" w:rsidRDefault="00A544C8">
      <w:pPr>
        <w:spacing w:after="0"/>
      </w:pPr>
      <w:r>
        <w:continuationSeparator/>
      </w:r>
    </w:p>
  </w:footnote>
  <w:footnote w:type="continuationNotice" w:id="1">
    <w:p w14:paraId="5149A40B" w14:textId="77777777" w:rsidR="00A544C8" w:rsidRDefault="00A544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AF5E26B4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19"/>
  </w:num>
  <w:num w:numId="8">
    <w:abstractNumId w:val="7"/>
  </w:num>
  <w:num w:numId="9">
    <w:abstractNumId w:val="21"/>
  </w:num>
  <w:num w:numId="10">
    <w:abstractNumId w:val="13"/>
  </w:num>
  <w:num w:numId="11">
    <w:abstractNumId w:val="5"/>
  </w:num>
  <w:num w:numId="12">
    <w:abstractNumId w:val="1"/>
  </w:num>
  <w:num w:numId="13">
    <w:abstractNumId w:val="22"/>
  </w:num>
  <w:num w:numId="14">
    <w:abstractNumId w:val="10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45BDF"/>
    <w:rsid w:val="00046020"/>
    <w:rsid w:val="000500F7"/>
    <w:rsid w:val="00054E5C"/>
    <w:rsid w:val="00063DAE"/>
    <w:rsid w:val="000707F2"/>
    <w:rsid w:val="00081CDD"/>
    <w:rsid w:val="00097E6B"/>
    <w:rsid w:val="000B1990"/>
    <w:rsid w:val="000C6FD1"/>
    <w:rsid w:val="000D4151"/>
    <w:rsid w:val="000E1342"/>
    <w:rsid w:val="000E330D"/>
    <w:rsid w:val="000F70C7"/>
    <w:rsid w:val="0010253A"/>
    <w:rsid w:val="001030EF"/>
    <w:rsid w:val="00111EB7"/>
    <w:rsid w:val="00114D8E"/>
    <w:rsid w:val="00122D19"/>
    <w:rsid w:val="001232EC"/>
    <w:rsid w:val="00124E5D"/>
    <w:rsid w:val="00125DAC"/>
    <w:rsid w:val="0013602A"/>
    <w:rsid w:val="001369AD"/>
    <w:rsid w:val="00144F61"/>
    <w:rsid w:val="00146E52"/>
    <w:rsid w:val="001536B5"/>
    <w:rsid w:val="00154C05"/>
    <w:rsid w:val="0015697F"/>
    <w:rsid w:val="0015790E"/>
    <w:rsid w:val="00166645"/>
    <w:rsid w:val="001839D7"/>
    <w:rsid w:val="0018530B"/>
    <w:rsid w:val="00190E24"/>
    <w:rsid w:val="001A1E09"/>
    <w:rsid w:val="001A452F"/>
    <w:rsid w:val="001B142E"/>
    <w:rsid w:val="001B159B"/>
    <w:rsid w:val="001B1620"/>
    <w:rsid w:val="001B1B3A"/>
    <w:rsid w:val="001B1EC7"/>
    <w:rsid w:val="001B2E20"/>
    <w:rsid w:val="001B36F8"/>
    <w:rsid w:val="001C099B"/>
    <w:rsid w:val="001C6F21"/>
    <w:rsid w:val="001D0240"/>
    <w:rsid w:val="001E008E"/>
    <w:rsid w:val="001E0B5B"/>
    <w:rsid w:val="001E1134"/>
    <w:rsid w:val="001E3331"/>
    <w:rsid w:val="001F70E2"/>
    <w:rsid w:val="002162F8"/>
    <w:rsid w:val="00221A19"/>
    <w:rsid w:val="0022593C"/>
    <w:rsid w:val="00230057"/>
    <w:rsid w:val="002424FF"/>
    <w:rsid w:val="00244F6A"/>
    <w:rsid w:val="00245257"/>
    <w:rsid w:val="002477FC"/>
    <w:rsid w:val="002500D0"/>
    <w:rsid w:val="00255F0A"/>
    <w:rsid w:val="00256BFC"/>
    <w:rsid w:val="00260902"/>
    <w:rsid w:val="00262FFA"/>
    <w:rsid w:val="00264BDF"/>
    <w:rsid w:val="002742EE"/>
    <w:rsid w:val="002804CE"/>
    <w:rsid w:val="00287B8D"/>
    <w:rsid w:val="00291786"/>
    <w:rsid w:val="0029388D"/>
    <w:rsid w:val="002A30DB"/>
    <w:rsid w:val="002B2E77"/>
    <w:rsid w:val="002B57F0"/>
    <w:rsid w:val="002C0325"/>
    <w:rsid w:val="002C343D"/>
    <w:rsid w:val="002C481C"/>
    <w:rsid w:val="002D0EEA"/>
    <w:rsid w:val="002D20C0"/>
    <w:rsid w:val="002D43BB"/>
    <w:rsid w:val="002D79FA"/>
    <w:rsid w:val="002E0ABA"/>
    <w:rsid w:val="00314B41"/>
    <w:rsid w:val="003214D1"/>
    <w:rsid w:val="003216E0"/>
    <w:rsid w:val="00321A89"/>
    <w:rsid w:val="003362EB"/>
    <w:rsid w:val="0033638B"/>
    <w:rsid w:val="00340D26"/>
    <w:rsid w:val="00343629"/>
    <w:rsid w:val="0035424A"/>
    <w:rsid w:val="00355044"/>
    <w:rsid w:val="00355ABE"/>
    <w:rsid w:val="00362F3B"/>
    <w:rsid w:val="00382105"/>
    <w:rsid w:val="0038329C"/>
    <w:rsid w:val="00386F50"/>
    <w:rsid w:val="00387099"/>
    <w:rsid w:val="003907A8"/>
    <w:rsid w:val="003A012C"/>
    <w:rsid w:val="003B0F05"/>
    <w:rsid w:val="003B2922"/>
    <w:rsid w:val="003C0419"/>
    <w:rsid w:val="003C0B13"/>
    <w:rsid w:val="003C32A1"/>
    <w:rsid w:val="003C5BD8"/>
    <w:rsid w:val="003E1B52"/>
    <w:rsid w:val="003E4EB7"/>
    <w:rsid w:val="003F1061"/>
    <w:rsid w:val="003F14E0"/>
    <w:rsid w:val="003F60AF"/>
    <w:rsid w:val="00400A2E"/>
    <w:rsid w:val="0040494C"/>
    <w:rsid w:val="004054D3"/>
    <w:rsid w:val="00410A8D"/>
    <w:rsid w:val="0041454F"/>
    <w:rsid w:val="0041506D"/>
    <w:rsid w:val="00421B57"/>
    <w:rsid w:val="00423CEA"/>
    <w:rsid w:val="00426EA5"/>
    <w:rsid w:val="00427E2F"/>
    <w:rsid w:val="00431380"/>
    <w:rsid w:val="00436176"/>
    <w:rsid w:val="00440303"/>
    <w:rsid w:val="004456A9"/>
    <w:rsid w:val="00446569"/>
    <w:rsid w:val="004523F4"/>
    <w:rsid w:val="00456A24"/>
    <w:rsid w:val="00461019"/>
    <w:rsid w:val="0046275D"/>
    <w:rsid w:val="00464CA3"/>
    <w:rsid w:val="0046551E"/>
    <w:rsid w:val="00474485"/>
    <w:rsid w:val="00476823"/>
    <w:rsid w:val="00476C2A"/>
    <w:rsid w:val="00480C10"/>
    <w:rsid w:val="00483468"/>
    <w:rsid w:val="00483DE7"/>
    <w:rsid w:val="0049213F"/>
    <w:rsid w:val="0049613A"/>
    <w:rsid w:val="004A2F97"/>
    <w:rsid w:val="004A772F"/>
    <w:rsid w:val="004B49AA"/>
    <w:rsid w:val="004B58E3"/>
    <w:rsid w:val="004C07B6"/>
    <w:rsid w:val="004C0ECA"/>
    <w:rsid w:val="004C5F77"/>
    <w:rsid w:val="004C615B"/>
    <w:rsid w:val="004D3F76"/>
    <w:rsid w:val="004D634E"/>
    <w:rsid w:val="004E26B2"/>
    <w:rsid w:val="004F25FD"/>
    <w:rsid w:val="004F53B6"/>
    <w:rsid w:val="00500B75"/>
    <w:rsid w:val="00505979"/>
    <w:rsid w:val="0051062E"/>
    <w:rsid w:val="0051448E"/>
    <w:rsid w:val="00517F9D"/>
    <w:rsid w:val="00520E7B"/>
    <w:rsid w:val="00520F4B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770E3"/>
    <w:rsid w:val="00582CAB"/>
    <w:rsid w:val="00586156"/>
    <w:rsid w:val="0059466F"/>
    <w:rsid w:val="00595973"/>
    <w:rsid w:val="00597070"/>
    <w:rsid w:val="005A312F"/>
    <w:rsid w:val="005A6DE2"/>
    <w:rsid w:val="005A74CD"/>
    <w:rsid w:val="005B0A3D"/>
    <w:rsid w:val="005D201C"/>
    <w:rsid w:val="005D6B6E"/>
    <w:rsid w:val="005E55F7"/>
    <w:rsid w:val="005F1605"/>
    <w:rsid w:val="005F3A25"/>
    <w:rsid w:val="00600B37"/>
    <w:rsid w:val="00601F79"/>
    <w:rsid w:val="00610DC9"/>
    <w:rsid w:val="00612769"/>
    <w:rsid w:val="00620296"/>
    <w:rsid w:val="00623263"/>
    <w:rsid w:val="00632162"/>
    <w:rsid w:val="00640363"/>
    <w:rsid w:val="0064384F"/>
    <w:rsid w:val="00647D8A"/>
    <w:rsid w:val="00651E33"/>
    <w:rsid w:val="006530FE"/>
    <w:rsid w:val="00662A01"/>
    <w:rsid w:val="00667A31"/>
    <w:rsid w:val="00674A20"/>
    <w:rsid w:val="006805FD"/>
    <w:rsid w:val="006807E3"/>
    <w:rsid w:val="00694ED0"/>
    <w:rsid w:val="006B2436"/>
    <w:rsid w:val="006B3A59"/>
    <w:rsid w:val="006B6A0D"/>
    <w:rsid w:val="006C1D96"/>
    <w:rsid w:val="006C5ED9"/>
    <w:rsid w:val="006E175E"/>
    <w:rsid w:val="006F3242"/>
    <w:rsid w:val="00702EB8"/>
    <w:rsid w:val="00710096"/>
    <w:rsid w:val="00712BC8"/>
    <w:rsid w:val="007130B5"/>
    <w:rsid w:val="007157E0"/>
    <w:rsid w:val="007165F3"/>
    <w:rsid w:val="00717CCC"/>
    <w:rsid w:val="00722924"/>
    <w:rsid w:val="007331DA"/>
    <w:rsid w:val="007366C0"/>
    <w:rsid w:val="00737E91"/>
    <w:rsid w:val="00743D60"/>
    <w:rsid w:val="00745B50"/>
    <w:rsid w:val="00745BCD"/>
    <w:rsid w:val="0075364E"/>
    <w:rsid w:val="0075604E"/>
    <w:rsid w:val="007575DD"/>
    <w:rsid w:val="00764301"/>
    <w:rsid w:val="00784DC8"/>
    <w:rsid w:val="0079416A"/>
    <w:rsid w:val="00794448"/>
    <w:rsid w:val="0079447F"/>
    <w:rsid w:val="00794BA6"/>
    <w:rsid w:val="0079595B"/>
    <w:rsid w:val="007B62B2"/>
    <w:rsid w:val="007C0C7E"/>
    <w:rsid w:val="007C370A"/>
    <w:rsid w:val="007C3908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4286"/>
    <w:rsid w:val="00820856"/>
    <w:rsid w:val="008208F6"/>
    <w:rsid w:val="00820A4A"/>
    <w:rsid w:val="00820B78"/>
    <w:rsid w:val="008221BA"/>
    <w:rsid w:val="008260B0"/>
    <w:rsid w:val="008323AE"/>
    <w:rsid w:val="0083283A"/>
    <w:rsid w:val="00835C35"/>
    <w:rsid w:val="0086481F"/>
    <w:rsid w:val="00866ACC"/>
    <w:rsid w:val="00866F78"/>
    <w:rsid w:val="00867677"/>
    <w:rsid w:val="00874392"/>
    <w:rsid w:val="008744D8"/>
    <w:rsid w:val="0088116B"/>
    <w:rsid w:val="0089184B"/>
    <w:rsid w:val="0089235F"/>
    <w:rsid w:val="008929CF"/>
    <w:rsid w:val="00893F41"/>
    <w:rsid w:val="008A385C"/>
    <w:rsid w:val="008A43E0"/>
    <w:rsid w:val="008B3FAF"/>
    <w:rsid w:val="008B6A31"/>
    <w:rsid w:val="008B7F3F"/>
    <w:rsid w:val="008C075D"/>
    <w:rsid w:val="008C6866"/>
    <w:rsid w:val="008C6B2A"/>
    <w:rsid w:val="008D022D"/>
    <w:rsid w:val="008D58EC"/>
    <w:rsid w:val="008D60F7"/>
    <w:rsid w:val="008E28E8"/>
    <w:rsid w:val="008E469A"/>
    <w:rsid w:val="008F345D"/>
    <w:rsid w:val="008F3E1A"/>
    <w:rsid w:val="00900B1E"/>
    <w:rsid w:val="00901E73"/>
    <w:rsid w:val="00904028"/>
    <w:rsid w:val="00905BDA"/>
    <w:rsid w:val="00910683"/>
    <w:rsid w:val="00911E51"/>
    <w:rsid w:val="009227A4"/>
    <w:rsid w:val="00932470"/>
    <w:rsid w:val="00933FE6"/>
    <w:rsid w:val="00935E08"/>
    <w:rsid w:val="009423AD"/>
    <w:rsid w:val="009467F5"/>
    <w:rsid w:val="00952795"/>
    <w:rsid w:val="00953207"/>
    <w:rsid w:val="00963807"/>
    <w:rsid w:val="00965F9D"/>
    <w:rsid w:val="00972BE8"/>
    <w:rsid w:val="00975017"/>
    <w:rsid w:val="00983CCC"/>
    <w:rsid w:val="00983EFA"/>
    <w:rsid w:val="0099393C"/>
    <w:rsid w:val="009A63A0"/>
    <w:rsid w:val="009A6EF5"/>
    <w:rsid w:val="009B4B23"/>
    <w:rsid w:val="009B5D79"/>
    <w:rsid w:val="009D25C6"/>
    <w:rsid w:val="009D5294"/>
    <w:rsid w:val="009E2C20"/>
    <w:rsid w:val="009F0072"/>
    <w:rsid w:val="00A02592"/>
    <w:rsid w:val="00A06BA2"/>
    <w:rsid w:val="00A06D2F"/>
    <w:rsid w:val="00A06DC4"/>
    <w:rsid w:val="00A168C0"/>
    <w:rsid w:val="00A238B6"/>
    <w:rsid w:val="00A30C68"/>
    <w:rsid w:val="00A33AC8"/>
    <w:rsid w:val="00A40DBD"/>
    <w:rsid w:val="00A450A0"/>
    <w:rsid w:val="00A45641"/>
    <w:rsid w:val="00A45914"/>
    <w:rsid w:val="00A5043D"/>
    <w:rsid w:val="00A544C8"/>
    <w:rsid w:val="00A54682"/>
    <w:rsid w:val="00A553CA"/>
    <w:rsid w:val="00A624A4"/>
    <w:rsid w:val="00A64E9E"/>
    <w:rsid w:val="00A65F7B"/>
    <w:rsid w:val="00A70500"/>
    <w:rsid w:val="00A86E0F"/>
    <w:rsid w:val="00A91281"/>
    <w:rsid w:val="00AA0C73"/>
    <w:rsid w:val="00AA43FE"/>
    <w:rsid w:val="00AA6350"/>
    <w:rsid w:val="00AA685A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6490"/>
    <w:rsid w:val="00AE7EB7"/>
    <w:rsid w:val="00AF71CE"/>
    <w:rsid w:val="00B00EDB"/>
    <w:rsid w:val="00B041D2"/>
    <w:rsid w:val="00B06C22"/>
    <w:rsid w:val="00B06E32"/>
    <w:rsid w:val="00B07575"/>
    <w:rsid w:val="00B16A2A"/>
    <w:rsid w:val="00B17212"/>
    <w:rsid w:val="00B17547"/>
    <w:rsid w:val="00B25FF6"/>
    <w:rsid w:val="00B32506"/>
    <w:rsid w:val="00B40DA9"/>
    <w:rsid w:val="00B42AB1"/>
    <w:rsid w:val="00B44059"/>
    <w:rsid w:val="00B4627F"/>
    <w:rsid w:val="00B50E38"/>
    <w:rsid w:val="00B517F2"/>
    <w:rsid w:val="00B54CD3"/>
    <w:rsid w:val="00B563DD"/>
    <w:rsid w:val="00B60449"/>
    <w:rsid w:val="00B64F64"/>
    <w:rsid w:val="00B66A8B"/>
    <w:rsid w:val="00B67771"/>
    <w:rsid w:val="00B71340"/>
    <w:rsid w:val="00B73FDF"/>
    <w:rsid w:val="00B80622"/>
    <w:rsid w:val="00B82E59"/>
    <w:rsid w:val="00B84F3B"/>
    <w:rsid w:val="00B86860"/>
    <w:rsid w:val="00B879E3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3A60"/>
    <w:rsid w:val="00BC54A0"/>
    <w:rsid w:val="00BD0F8A"/>
    <w:rsid w:val="00BD52C2"/>
    <w:rsid w:val="00BF27FB"/>
    <w:rsid w:val="00C056B0"/>
    <w:rsid w:val="00C05C78"/>
    <w:rsid w:val="00C13CAF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5395E"/>
    <w:rsid w:val="00C65431"/>
    <w:rsid w:val="00C672BE"/>
    <w:rsid w:val="00C7266E"/>
    <w:rsid w:val="00C74923"/>
    <w:rsid w:val="00C74C69"/>
    <w:rsid w:val="00C75552"/>
    <w:rsid w:val="00C76404"/>
    <w:rsid w:val="00C778FF"/>
    <w:rsid w:val="00C84CE5"/>
    <w:rsid w:val="00C90D68"/>
    <w:rsid w:val="00C94E0B"/>
    <w:rsid w:val="00CB2165"/>
    <w:rsid w:val="00CB37F3"/>
    <w:rsid w:val="00CB704C"/>
    <w:rsid w:val="00CC10E9"/>
    <w:rsid w:val="00CD471E"/>
    <w:rsid w:val="00CD6583"/>
    <w:rsid w:val="00CE04F7"/>
    <w:rsid w:val="00CE6983"/>
    <w:rsid w:val="00D04BEA"/>
    <w:rsid w:val="00D05C13"/>
    <w:rsid w:val="00D063F3"/>
    <w:rsid w:val="00D0651D"/>
    <w:rsid w:val="00D10724"/>
    <w:rsid w:val="00D15E27"/>
    <w:rsid w:val="00D201DA"/>
    <w:rsid w:val="00D24C0A"/>
    <w:rsid w:val="00D2656E"/>
    <w:rsid w:val="00D27EA9"/>
    <w:rsid w:val="00D3097D"/>
    <w:rsid w:val="00D31AEF"/>
    <w:rsid w:val="00D40150"/>
    <w:rsid w:val="00D4085B"/>
    <w:rsid w:val="00D435C2"/>
    <w:rsid w:val="00D43F0A"/>
    <w:rsid w:val="00D6066F"/>
    <w:rsid w:val="00D61DA9"/>
    <w:rsid w:val="00D62A52"/>
    <w:rsid w:val="00D65537"/>
    <w:rsid w:val="00D76286"/>
    <w:rsid w:val="00D8305F"/>
    <w:rsid w:val="00D868C2"/>
    <w:rsid w:val="00D90AFC"/>
    <w:rsid w:val="00DC6F4D"/>
    <w:rsid w:val="00DD4684"/>
    <w:rsid w:val="00DE20C2"/>
    <w:rsid w:val="00DE5EF4"/>
    <w:rsid w:val="00DF3E88"/>
    <w:rsid w:val="00DF469B"/>
    <w:rsid w:val="00E0214A"/>
    <w:rsid w:val="00E03FCE"/>
    <w:rsid w:val="00E06B08"/>
    <w:rsid w:val="00E15ED1"/>
    <w:rsid w:val="00E251FD"/>
    <w:rsid w:val="00E31684"/>
    <w:rsid w:val="00E32EE8"/>
    <w:rsid w:val="00E357FC"/>
    <w:rsid w:val="00E37D8F"/>
    <w:rsid w:val="00E4711B"/>
    <w:rsid w:val="00E5486D"/>
    <w:rsid w:val="00E571C2"/>
    <w:rsid w:val="00E605EA"/>
    <w:rsid w:val="00E64FFE"/>
    <w:rsid w:val="00E670D8"/>
    <w:rsid w:val="00E74900"/>
    <w:rsid w:val="00E74BCC"/>
    <w:rsid w:val="00E836D1"/>
    <w:rsid w:val="00E85198"/>
    <w:rsid w:val="00E958B0"/>
    <w:rsid w:val="00E958E3"/>
    <w:rsid w:val="00E9595B"/>
    <w:rsid w:val="00EA2860"/>
    <w:rsid w:val="00EA2CBA"/>
    <w:rsid w:val="00EA3154"/>
    <w:rsid w:val="00EA74C5"/>
    <w:rsid w:val="00EB1495"/>
    <w:rsid w:val="00EC2CE5"/>
    <w:rsid w:val="00EC720F"/>
    <w:rsid w:val="00ED1A12"/>
    <w:rsid w:val="00ED316F"/>
    <w:rsid w:val="00ED6A14"/>
    <w:rsid w:val="00EF15B3"/>
    <w:rsid w:val="00EF38BF"/>
    <w:rsid w:val="00EF4C3F"/>
    <w:rsid w:val="00EF786E"/>
    <w:rsid w:val="00F00BC4"/>
    <w:rsid w:val="00F0175D"/>
    <w:rsid w:val="00F03D87"/>
    <w:rsid w:val="00F1324F"/>
    <w:rsid w:val="00F211D9"/>
    <w:rsid w:val="00F22702"/>
    <w:rsid w:val="00F2289D"/>
    <w:rsid w:val="00F30092"/>
    <w:rsid w:val="00F321D7"/>
    <w:rsid w:val="00F34287"/>
    <w:rsid w:val="00F36DAE"/>
    <w:rsid w:val="00F43612"/>
    <w:rsid w:val="00F45DBB"/>
    <w:rsid w:val="00F460EB"/>
    <w:rsid w:val="00F46141"/>
    <w:rsid w:val="00F472FC"/>
    <w:rsid w:val="00F47E3B"/>
    <w:rsid w:val="00F5209A"/>
    <w:rsid w:val="00F542EA"/>
    <w:rsid w:val="00F5785D"/>
    <w:rsid w:val="00F629D0"/>
    <w:rsid w:val="00F637C3"/>
    <w:rsid w:val="00F63972"/>
    <w:rsid w:val="00F67F4B"/>
    <w:rsid w:val="00F85BD3"/>
    <w:rsid w:val="00F8682C"/>
    <w:rsid w:val="00F90E18"/>
    <w:rsid w:val="00F90E1B"/>
    <w:rsid w:val="00F92013"/>
    <w:rsid w:val="00FA00E1"/>
    <w:rsid w:val="00FA2448"/>
    <w:rsid w:val="00FA3D40"/>
    <w:rsid w:val="00FA4CAA"/>
    <w:rsid w:val="00FB1A4D"/>
    <w:rsid w:val="00FB7C76"/>
    <w:rsid w:val="00FD4AD2"/>
    <w:rsid w:val="00FF2302"/>
    <w:rsid w:val="00FF2EA9"/>
    <w:rsid w:val="00FF3C1E"/>
    <w:rsid w:val="00FF51D2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24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6918-1BFF-450A-BF39-D3405B351D64}">
  <ds:schemaRefs>
    <ds:schemaRef ds:uri="74e46bd8-2d3a-46c4-a507-7dab1b7d08c1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904cd28-e998-4c0a-a469-48e92015d5b0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57B644-F391-407D-A89E-987C6E1E2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67366F-D11C-42CC-9714-6315200F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38</cp:revision>
  <cp:lastPrinted>2020-02-10T06:14:00Z</cp:lastPrinted>
  <dcterms:created xsi:type="dcterms:W3CDTF">2020-10-23T21:25:00Z</dcterms:created>
  <dcterms:modified xsi:type="dcterms:W3CDTF">2021-01-18T08:17:00Z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7e1c5aa6-bd62-4757-951f-4e2eed3c8a1a</vt:lpwstr>
  </property>
</Properties>
</file>